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10" w:rsidRPr="00E250E0" w:rsidRDefault="00E250E0" w:rsidP="003A1510">
      <w:pPr>
        <w:ind w:firstLine="700"/>
        <w:jc w:val="center"/>
        <w:rPr>
          <w:b/>
          <w:color w:val="000000" w:themeColor="text1"/>
          <w:sz w:val="32"/>
          <w:szCs w:val="32"/>
        </w:rPr>
      </w:pPr>
      <w:r w:rsidRPr="00E250E0">
        <w:rPr>
          <w:b/>
          <w:color w:val="000000" w:themeColor="text1"/>
          <w:sz w:val="32"/>
          <w:szCs w:val="32"/>
        </w:rPr>
        <w:t>ИНВЕСТИЦИОННАЯ ПРИВЛЕКАТЕЛЬНОСТЬ</w:t>
      </w:r>
    </w:p>
    <w:p w:rsidR="00E250E0" w:rsidRDefault="00E250E0" w:rsidP="003A1510">
      <w:pPr>
        <w:ind w:firstLine="700"/>
        <w:jc w:val="center"/>
        <w:rPr>
          <w:color w:val="000000" w:themeColor="text1"/>
          <w:sz w:val="28"/>
          <w:szCs w:val="28"/>
        </w:rPr>
      </w:pPr>
    </w:p>
    <w:p w:rsidR="00C57C21" w:rsidRDefault="00C57C21" w:rsidP="00C57C21">
      <w:pPr>
        <w:ind w:firstLine="700"/>
        <w:jc w:val="both"/>
        <w:rPr>
          <w:sz w:val="28"/>
          <w:szCs w:val="28"/>
        </w:rPr>
      </w:pPr>
      <w:r w:rsidRPr="00F60058">
        <w:rPr>
          <w:color w:val="000000" w:themeColor="text1"/>
          <w:sz w:val="28"/>
          <w:szCs w:val="28"/>
        </w:rPr>
        <w:t xml:space="preserve">Краснопартизанский муниципальный район Саратовской области обладает достаточными возможностями развития экономики. </w:t>
      </w:r>
      <w:r w:rsidRPr="00F60058">
        <w:rPr>
          <w:sz w:val="28"/>
          <w:szCs w:val="28"/>
        </w:rPr>
        <w:t>Территории района обладают необходимыми природными</w:t>
      </w:r>
      <w:r>
        <w:rPr>
          <w:sz w:val="28"/>
          <w:szCs w:val="28"/>
        </w:rPr>
        <w:t xml:space="preserve"> и технологическими</w:t>
      </w:r>
      <w:r w:rsidRPr="00F60058">
        <w:rPr>
          <w:sz w:val="28"/>
          <w:szCs w:val="28"/>
        </w:rPr>
        <w:t xml:space="preserve"> ресурсами для обеспечения развития реального сектора экономики района, </w:t>
      </w:r>
      <w:r>
        <w:rPr>
          <w:sz w:val="28"/>
          <w:szCs w:val="28"/>
        </w:rPr>
        <w:t>в том числе сельского хозяйства, основными из которых являются:</w:t>
      </w:r>
    </w:p>
    <w:p w:rsidR="00C57C21" w:rsidRPr="00754A2E" w:rsidRDefault="00C57C21" w:rsidP="00C57C2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A2E">
        <w:rPr>
          <w:sz w:val="28"/>
          <w:szCs w:val="28"/>
        </w:rPr>
        <w:t>Наличие водных ресурсов, среди которых река Большой Иргиз, с большим количеством притоков и Саратовский оросительно-обводнительный канал имени Е.Е. Алексеевского. В комплекс Саратовского оросительно-обводнительного канала входят:</w:t>
      </w:r>
    </w:p>
    <w:p w:rsidR="00C57C21" w:rsidRPr="00754A2E" w:rsidRDefault="00C57C21" w:rsidP="00C57C21">
      <w:pPr>
        <w:jc w:val="both"/>
        <w:rPr>
          <w:sz w:val="28"/>
          <w:szCs w:val="28"/>
        </w:rPr>
      </w:pPr>
      <w:r w:rsidRPr="00754A2E">
        <w:rPr>
          <w:sz w:val="28"/>
          <w:szCs w:val="28"/>
        </w:rPr>
        <w:t xml:space="preserve"> Головной водозабор — начало Саратовского канала. Волжская вода Саратовского водохранилища через шлюзы самотечно поступает в канал. Общая производительность водозабора более 100 кубометров в секунду. Самотечная часть канала - проложена в черте города Балаково. Протяженность канала от водозабора до Сулакского водохранилища 40,6 км. Сулакское водохранилище - основной водный объект, обеспечивающий бесперебойную работу канала. Водохранилище емкостью 115 млн м3, площадью 20 км2. Магистральный канал с 5 перекачивающими насосными станциями, производящими подачу воды на общую высоту 92 м. Протяженность - 41 км, пропускная способность - 51 м3/с. Ветвь магистрального канала ВМК 1 для подачи воды в реки Еруслан и Малый Узень протяженностью 32,7 км, пропускной способностью 32 м3/с; Ветвь магистрального канала ВМК 2 для подачи воды в реку Большой Узень, протяженностью - 17,9 км, пропускной способностью - 11,0 м3/с и далее водопитающие тракты малых рек Левобережья области общей протяженностью более 1000 км, что позволит обеспечить перерабатывающие производства необходимым объемом воды для осуществления производства.</w:t>
      </w:r>
    </w:p>
    <w:p w:rsidR="00C57C21" w:rsidRPr="00754A2E" w:rsidRDefault="00C57C21" w:rsidP="00C5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A2E">
        <w:rPr>
          <w:sz w:val="28"/>
          <w:szCs w:val="28"/>
        </w:rPr>
        <w:t>Наличие на территории района электрической подстанции ПС-220/110/10 кВ Горный которая сможет обеспечить необходимым для больших производств объемом электроэнергии</w:t>
      </w:r>
      <w:r>
        <w:rPr>
          <w:sz w:val="28"/>
          <w:szCs w:val="28"/>
        </w:rPr>
        <w:t>. В настоящее время на подстанции имеются свободные электрические мощности, так как ресурсный потенциал задействован только на 30%. Мощность подстанции составляет 30 Мвт.</w:t>
      </w:r>
    </w:p>
    <w:p w:rsidR="00C57C21" w:rsidRPr="0022087A" w:rsidRDefault="00C57C21" w:rsidP="00C5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4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Территория района имеет развитую транспортную логистику. В непосредственной близости от Краснопартизанского района проходит </w:t>
      </w:r>
      <w:r w:rsidRPr="00754A2E">
        <w:rPr>
          <w:sz w:val="28"/>
          <w:szCs w:val="28"/>
        </w:rPr>
        <w:t>автомобильн</w:t>
      </w:r>
      <w:r>
        <w:rPr>
          <w:sz w:val="28"/>
          <w:szCs w:val="28"/>
        </w:rPr>
        <w:t>ая</w:t>
      </w:r>
      <w:r w:rsidRPr="00754A2E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</w:t>
      </w:r>
      <w:r w:rsidRPr="00754A2E">
        <w:rPr>
          <w:sz w:val="28"/>
          <w:szCs w:val="28"/>
        </w:rPr>
        <w:t xml:space="preserve"> </w:t>
      </w:r>
      <w:r w:rsidRPr="007226CF">
        <w:rPr>
          <w:color w:val="000000" w:themeColor="text1"/>
          <w:sz w:val="28"/>
          <w:szCs w:val="28"/>
        </w:rPr>
        <w:t>федерального</w:t>
      </w:r>
      <w:r w:rsidRPr="00754A2E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Р-228 Сызрань-Саратов-Волгоград</w:t>
      </w:r>
      <w:r w:rsidRPr="00754A2E">
        <w:rPr>
          <w:sz w:val="28"/>
          <w:szCs w:val="28"/>
        </w:rPr>
        <w:t xml:space="preserve">. До </w:t>
      </w:r>
      <w:r>
        <w:rPr>
          <w:sz w:val="28"/>
          <w:szCs w:val="28"/>
        </w:rPr>
        <w:t xml:space="preserve">данной </w:t>
      </w:r>
      <w:r w:rsidRPr="00754A2E">
        <w:rPr>
          <w:sz w:val="28"/>
          <w:szCs w:val="28"/>
        </w:rPr>
        <w:t>автомобильной дороги менее 35 км.</w:t>
      </w:r>
      <w:r>
        <w:rPr>
          <w:sz w:val="28"/>
          <w:szCs w:val="28"/>
        </w:rPr>
        <w:t xml:space="preserve"> Вместе с тем п</w:t>
      </w:r>
      <w:r w:rsidRPr="0022087A">
        <w:rPr>
          <w:sz w:val="28"/>
          <w:szCs w:val="28"/>
        </w:rPr>
        <w:t>о территории района будет проходить часть автомобильной магистрали «Европа-Западный Китай» что улучшит логистическое положение района даст толчок к развитию промышленного производства и сельского хозяйства.</w:t>
      </w:r>
      <w:r>
        <w:rPr>
          <w:sz w:val="28"/>
          <w:szCs w:val="28"/>
        </w:rPr>
        <w:t xml:space="preserve"> По всей территории района проходит сеть железнодорожных путей через основные населенные пункты.</w:t>
      </w:r>
    </w:p>
    <w:p w:rsidR="00C57C21" w:rsidRDefault="00C57C21" w:rsidP="00C57C21">
      <w:pPr>
        <w:ind w:firstLine="708"/>
        <w:jc w:val="both"/>
        <w:rPr>
          <w:color w:val="000000" w:themeColor="text1"/>
          <w:sz w:val="28"/>
          <w:szCs w:val="28"/>
        </w:rPr>
      </w:pPr>
      <w:r w:rsidRPr="006566B7">
        <w:rPr>
          <w:color w:val="000000" w:themeColor="text1"/>
          <w:sz w:val="28"/>
          <w:szCs w:val="28"/>
        </w:rPr>
        <w:t xml:space="preserve">- </w:t>
      </w:r>
      <w:r w:rsidRPr="00754A2E">
        <w:rPr>
          <w:color w:val="000000" w:themeColor="text1"/>
          <w:sz w:val="28"/>
          <w:szCs w:val="28"/>
        </w:rPr>
        <w:t>На территории района имеется возможность п</w:t>
      </w:r>
      <w:r>
        <w:rPr>
          <w:color w:val="000000" w:themeColor="text1"/>
          <w:sz w:val="28"/>
          <w:szCs w:val="28"/>
        </w:rPr>
        <w:t>одключения к сетям газоснабжения, с</w:t>
      </w:r>
      <w:r w:rsidRPr="00754A2E">
        <w:rPr>
          <w:color w:val="000000" w:themeColor="text1"/>
          <w:sz w:val="28"/>
          <w:szCs w:val="28"/>
        </w:rPr>
        <w:t xml:space="preserve"> возможностью увеличения объемов подачи</w:t>
      </w:r>
      <w:r>
        <w:rPr>
          <w:color w:val="000000" w:themeColor="text1"/>
          <w:sz w:val="28"/>
          <w:szCs w:val="28"/>
        </w:rPr>
        <w:t xml:space="preserve">, так как по территории района проходит магистральный газопровод высокого давления Мокроус-Самара-Тольятти. Средний объем, транспортируемого газа составляет примерно 241 млн. м. куб. в год. </w:t>
      </w:r>
    </w:p>
    <w:p w:rsidR="00C57C21" w:rsidRDefault="00C57C21" w:rsidP="00C57C21">
      <w:pPr>
        <w:ind w:firstLine="70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связи с тем, что район является преимущественно сельскохозяйственным, на территории района имеется достаточно </w:t>
      </w:r>
      <w:r w:rsidRPr="00F60058">
        <w:rPr>
          <w:sz w:val="28"/>
          <w:szCs w:val="28"/>
        </w:rPr>
        <w:t>крупных сельхозпроизводителей таких как: СПК «Заря», ООО «Зерновик», ИП Глава КФХ «Безгубов М.Н.», ИП Глава КФХ Исмаилов М.М., ИП Глава КФХ «Мелюх Е.Г.»</w:t>
      </w:r>
      <w:r>
        <w:rPr>
          <w:sz w:val="28"/>
          <w:szCs w:val="28"/>
        </w:rPr>
        <w:t xml:space="preserve">, </w:t>
      </w:r>
      <w:r w:rsidRPr="00F60058">
        <w:rPr>
          <w:sz w:val="28"/>
          <w:szCs w:val="28"/>
        </w:rPr>
        <w:t>ООО «Зерновик», ООО «ТД и К», ООО МТС «Ершовская», ИП Глава КФХ «Кващук П.В.», ИП Глава КФХ «Дундин В.Г.», ИП Глава КФХ «</w:t>
      </w:r>
      <w:r>
        <w:rPr>
          <w:sz w:val="28"/>
          <w:szCs w:val="28"/>
        </w:rPr>
        <w:t>Петров А.Ф</w:t>
      </w:r>
      <w:r w:rsidRPr="00F60058">
        <w:rPr>
          <w:sz w:val="28"/>
          <w:szCs w:val="28"/>
        </w:rPr>
        <w:t xml:space="preserve">.» которые </w:t>
      </w:r>
      <w:r>
        <w:rPr>
          <w:sz w:val="28"/>
          <w:szCs w:val="28"/>
        </w:rPr>
        <w:t>имеют финансовую возможность не только осуществлять производство продукции, но осуществлять ее переработку. На сегодняшний день самым востребованным объектом инвестирования сельхоз товаропроизводителями, является строительство орошаемых участков производства сельхозпродукции.</w:t>
      </w:r>
      <w:r w:rsidRPr="009739D9">
        <w:rPr>
          <w:sz w:val="28"/>
          <w:szCs w:val="28"/>
        </w:rPr>
        <w:t xml:space="preserve"> </w:t>
      </w:r>
      <w:r w:rsidRPr="00F60058">
        <w:rPr>
          <w:sz w:val="28"/>
          <w:szCs w:val="28"/>
        </w:rPr>
        <w:t>В рамках реализации подпрограммы «Развитие мелиорации земель сельскохозяйственного назначения Саратовской области»</w:t>
      </w:r>
      <w:r>
        <w:rPr>
          <w:sz w:val="28"/>
          <w:szCs w:val="28"/>
        </w:rPr>
        <w:t xml:space="preserve"> введено в эксплуатацию </w:t>
      </w:r>
      <w:r>
        <w:rPr>
          <w:b/>
          <w:color w:val="000000" w:themeColor="text1"/>
          <w:sz w:val="28"/>
          <w:szCs w:val="28"/>
        </w:rPr>
        <w:t>4765,67</w:t>
      </w:r>
      <w:r w:rsidRPr="003753F2">
        <w:rPr>
          <w:b/>
          <w:color w:val="000000" w:themeColor="text1"/>
          <w:sz w:val="28"/>
          <w:szCs w:val="28"/>
        </w:rPr>
        <w:t xml:space="preserve"> га</w:t>
      </w:r>
      <w:r w:rsidRPr="003753F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орошаемых земель.</w:t>
      </w:r>
    </w:p>
    <w:p w:rsidR="008B2B31" w:rsidRPr="008B2B31" w:rsidRDefault="008B2B31" w:rsidP="008B2B31">
      <w:pPr>
        <w:pStyle w:val="ad"/>
        <w:tabs>
          <w:tab w:val="left" w:pos="90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lang w:eastAsia="ru-RU"/>
        </w:rPr>
        <w:tab/>
      </w:r>
      <w:r w:rsidRPr="008B2B31">
        <w:rPr>
          <w:color w:val="000000" w:themeColor="text1"/>
          <w:sz w:val="28"/>
          <w:szCs w:val="28"/>
        </w:rPr>
        <w:t>Малый и средний бизнес играет важную роль в решении социально-экономических задач нашего района, так как способствует социальной стабильности в обществе, обеспечению занятости населения путём создания новых рабочих мест, насыщению потребительского рынка товарами и услугами, формированию конкурентной среды, обеспечивает стабильность и увеличение налоговых поступлений в местный бюджет.</w:t>
      </w:r>
    </w:p>
    <w:p w:rsidR="008B2B31" w:rsidRPr="008B2B31" w:rsidRDefault="008B2B31" w:rsidP="008B2B31">
      <w:pPr>
        <w:pStyle w:val="ad"/>
        <w:tabs>
          <w:tab w:val="left" w:pos="90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8B2B31">
        <w:rPr>
          <w:color w:val="000000" w:themeColor="text1"/>
          <w:sz w:val="28"/>
          <w:szCs w:val="28"/>
        </w:rPr>
        <w:tab/>
        <w:t>По состоянию на 01.01.2023 года на территории Краснопартизанского муниципального района Саратовской области свою деятельность осуществляют 193 субъекта малого и среднего предпринимательства в т.ч. 8 малых предприятий и 185 микропредприятий, индивидуальных предпринимателя осуществляющих розничную торговлю широким ассортиментом товаров и оказывающих услуги в самых различных сферах.</w:t>
      </w:r>
    </w:p>
    <w:p w:rsidR="008B2B31" w:rsidRPr="008B2B31" w:rsidRDefault="008B2B31" w:rsidP="008B2B31">
      <w:pPr>
        <w:pStyle w:val="ad"/>
        <w:tabs>
          <w:tab w:val="left" w:pos="90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8B2B31">
        <w:rPr>
          <w:color w:val="000000" w:themeColor="text1"/>
          <w:sz w:val="28"/>
          <w:szCs w:val="28"/>
        </w:rPr>
        <w:tab/>
        <w:t>Структура бизнес сообщества Краснопартизанского муниципального района представлена 24 видами экономической деятельности, среди которых можно выделить 3 основных вида деятельности, которыми заняты предприниматели района:</w:t>
      </w:r>
    </w:p>
    <w:p w:rsidR="008B2B31" w:rsidRPr="008B2B31" w:rsidRDefault="008B2B31" w:rsidP="008B2B31">
      <w:pPr>
        <w:pStyle w:val="ad"/>
        <w:tabs>
          <w:tab w:val="left" w:pos="90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8B2B31">
        <w:rPr>
          <w:color w:val="000000" w:themeColor="text1"/>
          <w:sz w:val="28"/>
          <w:szCs w:val="28"/>
        </w:rPr>
        <w:t xml:space="preserve"> - Растениеводство и животноводство, охота и предоставление соответствующих услуг в этих областях 47;</w:t>
      </w:r>
    </w:p>
    <w:p w:rsidR="008B2B31" w:rsidRPr="008B2B31" w:rsidRDefault="008B2B31" w:rsidP="008B2B31">
      <w:pPr>
        <w:pStyle w:val="ad"/>
        <w:tabs>
          <w:tab w:val="left" w:pos="90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8B2B31">
        <w:rPr>
          <w:color w:val="000000" w:themeColor="text1"/>
          <w:sz w:val="28"/>
          <w:szCs w:val="28"/>
        </w:rPr>
        <w:t>- Торговля розничная, кроме торговли автотранспортными средствами и мотоциклами 57;</w:t>
      </w:r>
    </w:p>
    <w:p w:rsidR="008B2B31" w:rsidRPr="008B2B31" w:rsidRDefault="008B2B31" w:rsidP="008B2B31">
      <w:pPr>
        <w:pStyle w:val="ad"/>
        <w:tabs>
          <w:tab w:val="left" w:pos="900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8B2B31">
        <w:rPr>
          <w:color w:val="000000" w:themeColor="text1"/>
          <w:sz w:val="28"/>
          <w:szCs w:val="28"/>
        </w:rPr>
        <w:t>- Деятельность сухопутного и трубопроводного транспорта 44.</w:t>
      </w:r>
    </w:p>
    <w:p w:rsidR="008B2B31" w:rsidRPr="008B2B31" w:rsidRDefault="008B2B31" w:rsidP="008B2B31">
      <w:pPr>
        <w:pStyle w:val="af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2B31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01.01.2023 года на территории Краснопартизанского муниципального района Саратовской области функционирует </w:t>
      </w:r>
      <w:r w:rsidRPr="008B2B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87 </w:t>
      </w:r>
      <w:r w:rsidRPr="008B2B31">
        <w:rPr>
          <w:rFonts w:ascii="Times New Roman" w:hAnsi="Times New Roman"/>
          <w:color w:val="000000" w:themeColor="text1"/>
          <w:sz w:val="28"/>
          <w:szCs w:val="28"/>
        </w:rPr>
        <w:t xml:space="preserve">объектов розничной торговли и </w:t>
      </w:r>
      <w:r w:rsidRPr="008B2B31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8B2B31">
        <w:rPr>
          <w:rFonts w:ascii="Times New Roman" w:hAnsi="Times New Roman"/>
          <w:color w:val="000000" w:themeColor="text1"/>
          <w:sz w:val="28"/>
          <w:szCs w:val="28"/>
        </w:rPr>
        <w:t xml:space="preserve"> объекта общественного питания.</w:t>
      </w:r>
    </w:p>
    <w:p w:rsidR="008B2B31" w:rsidRPr="008B2B31" w:rsidRDefault="008B2B31" w:rsidP="008B2B31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8B2B31">
        <w:rPr>
          <w:rFonts w:ascii="Times New Roman" w:hAnsi="Times New Roman"/>
          <w:sz w:val="28"/>
          <w:szCs w:val="28"/>
        </w:rPr>
        <w:t xml:space="preserve">На территории района осуществляют свою деятельность </w:t>
      </w:r>
      <w:r w:rsidRPr="008B2B3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B2B31">
        <w:rPr>
          <w:rFonts w:ascii="Times New Roman" w:hAnsi="Times New Roman"/>
          <w:sz w:val="28"/>
          <w:szCs w:val="28"/>
        </w:rPr>
        <w:t xml:space="preserve"> торговых сетей АО «Тандер» магазин «Магнит», ООО «Центр реструктуризации» магазин «Гроздь», Индивидуальный предприниматель Грауберг А.С., магазин «Дубки», ООО «Альбион 2002» магазин «Бристоль», ООО «Агроторг» магазин «Пятерочка, ООО Бест Прайс магазин «</w:t>
      </w:r>
      <w:r w:rsidRPr="008B2B31">
        <w:rPr>
          <w:rFonts w:ascii="Times New Roman" w:hAnsi="Times New Roman"/>
          <w:sz w:val="28"/>
          <w:szCs w:val="28"/>
          <w:lang w:val="en-US"/>
        </w:rPr>
        <w:t>Fix</w:t>
      </w:r>
      <w:r w:rsidRPr="008B2B31">
        <w:rPr>
          <w:rFonts w:ascii="Times New Roman" w:hAnsi="Times New Roman"/>
          <w:sz w:val="28"/>
          <w:szCs w:val="28"/>
        </w:rPr>
        <w:t xml:space="preserve"> Прайс»</w:t>
      </w:r>
      <w:r w:rsidRPr="008B2B31">
        <w:rPr>
          <w:rFonts w:ascii="Times New Roman" w:hAnsi="Times New Roman"/>
          <w:color w:val="FF0000"/>
          <w:sz w:val="28"/>
          <w:szCs w:val="28"/>
        </w:rPr>
        <w:t>.</w:t>
      </w:r>
      <w:r w:rsidRPr="008B2B31">
        <w:rPr>
          <w:rFonts w:ascii="Times New Roman" w:hAnsi="Times New Roman"/>
          <w:sz w:val="28"/>
          <w:szCs w:val="28"/>
        </w:rPr>
        <w:t xml:space="preserve"> </w:t>
      </w:r>
    </w:p>
    <w:p w:rsidR="00632341" w:rsidRPr="002825A2" w:rsidRDefault="008B2B31" w:rsidP="002825A2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8B2B31">
        <w:rPr>
          <w:rFonts w:ascii="Times New Roman" w:hAnsi="Times New Roman"/>
          <w:sz w:val="28"/>
          <w:szCs w:val="28"/>
        </w:rPr>
        <w:t>В 2022 году на территории района начал свою хозяйственную деятельность Международный маркетплейс одежды, обуви, электроники, детских товаров, товаров для дома и других товаров (Вайлдберриз).</w:t>
      </w:r>
      <w:bookmarkStart w:id="0" w:name="_GoBack"/>
      <w:bookmarkEnd w:id="0"/>
    </w:p>
    <w:p w:rsidR="00632341" w:rsidRDefault="00632341" w:rsidP="00C12ABE"/>
    <w:p w:rsidR="0007601D" w:rsidRDefault="0007601D" w:rsidP="00C12ABE"/>
    <w:p w:rsidR="0007601D" w:rsidRDefault="0007601D" w:rsidP="00C12ABE"/>
    <w:p w:rsidR="0007601D" w:rsidRDefault="0007601D" w:rsidP="00C12ABE"/>
    <w:p w:rsidR="0007601D" w:rsidRDefault="0007601D" w:rsidP="00C12ABE"/>
    <w:p w:rsidR="00B03426" w:rsidRDefault="00B03426" w:rsidP="00C12ABE"/>
    <w:p w:rsidR="00B03426" w:rsidRDefault="00B03426" w:rsidP="00C12ABE"/>
    <w:p w:rsidR="00B03426" w:rsidRDefault="00B03426" w:rsidP="00C12ABE"/>
    <w:p w:rsidR="00B03426" w:rsidRDefault="00B03426" w:rsidP="00C12ABE"/>
    <w:p w:rsidR="00952B97" w:rsidRDefault="00952B97" w:rsidP="00C12ABE"/>
    <w:p w:rsidR="00E51657" w:rsidRDefault="00E51657" w:rsidP="00C12ABE"/>
    <w:p w:rsidR="00E51657" w:rsidRDefault="00E51657" w:rsidP="00C12ABE"/>
    <w:p w:rsidR="00E51657" w:rsidRDefault="00E51657" w:rsidP="00C12ABE"/>
    <w:p w:rsidR="00E51657" w:rsidRDefault="00E51657" w:rsidP="00C12ABE"/>
    <w:p w:rsidR="00E51657" w:rsidRDefault="00E51657" w:rsidP="00C12ABE"/>
    <w:p w:rsidR="00E51657" w:rsidRDefault="00E51657" w:rsidP="00C12ABE"/>
    <w:p w:rsidR="00E51657" w:rsidRDefault="00E51657" w:rsidP="00C12ABE"/>
    <w:p w:rsidR="00E51657" w:rsidRDefault="00E51657" w:rsidP="00C12ABE"/>
    <w:p w:rsidR="00E51657" w:rsidRDefault="00E51657" w:rsidP="00C12ABE"/>
    <w:p w:rsidR="00E51657" w:rsidRDefault="00E51657" w:rsidP="00C12ABE"/>
    <w:p w:rsidR="00E51657" w:rsidRDefault="00E51657" w:rsidP="00C12ABE"/>
    <w:p w:rsidR="00E51657" w:rsidRDefault="00E51657" w:rsidP="00C12ABE"/>
    <w:p w:rsidR="00E51657" w:rsidRDefault="00E51657" w:rsidP="00C12ABE"/>
    <w:p w:rsidR="00E51657" w:rsidRDefault="00E51657" w:rsidP="00C12ABE"/>
    <w:p w:rsidR="00632341" w:rsidRDefault="00632341"/>
    <w:sectPr w:rsidR="00632341" w:rsidSect="008B2B31"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E7" w:rsidRDefault="006265E7" w:rsidP="0078093C">
      <w:r>
        <w:separator/>
      </w:r>
    </w:p>
  </w:endnote>
  <w:endnote w:type="continuationSeparator" w:id="0">
    <w:p w:rsidR="006265E7" w:rsidRDefault="006265E7" w:rsidP="0078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E7" w:rsidRDefault="006265E7" w:rsidP="0078093C">
      <w:r>
        <w:separator/>
      </w:r>
    </w:p>
  </w:footnote>
  <w:footnote w:type="continuationSeparator" w:id="0">
    <w:p w:rsidR="006265E7" w:rsidRDefault="006265E7" w:rsidP="0078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7E0B"/>
    <w:multiLevelType w:val="hybridMultilevel"/>
    <w:tmpl w:val="AD24D0A6"/>
    <w:lvl w:ilvl="0" w:tplc="EF04F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42F35"/>
    <w:multiLevelType w:val="hybridMultilevel"/>
    <w:tmpl w:val="530EA18A"/>
    <w:lvl w:ilvl="0" w:tplc="E86C3AC0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0D6B8F"/>
    <w:multiLevelType w:val="hybridMultilevel"/>
    <w:tmpl w:val="15C0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6204D"/>
    <w:multiLevelType w:val="hybridMultilevel"/>
    <w:tmpl w:val="F470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C"/>
    <w:rsid w:val="000176DB"/>
    <w:rsid w:val="00030782"/>
    <w:rsid w:val="00031E8B"/>
    <w:rsid w:val="0003638E"/>
    <w:rsid w:val="00042D1B"/>
    <w:rsid w:val="0005403D"/>
    <w:rsid w:val="0007601D"/>
    <w:rsid w:val="000A0C87"/>
    <w:rsid w:val="000A529C"/>
    <w:rsid w:val="000B3D9C"/>
    <w:rsid w:val="000D49B8"/>
    <w:rsid w:val="000D614E"/>
    <w:rsid w:val="001107F0"/>
    <w:rsid w:val="001B1572"/>
    <w:rsid w:val="001B6F0D"/>
    <w:rsid w:val="001E1AD0"/>
    <w:rsid w:val="002071FB"/>
    <w:rsid w:val="00236B2A"/>
    <w:rsid w:val="002620B8"/>
    <w:rsid w:val="00280493"/>
    <w:rsid w:val="002825A2"/>
    <w:rsid w:val="002B589D"/>
    <w:rsid w:val="002E5132"/>
    <w:rsid w:val="002F4EF6"/>
    <w:rsid w:val="00303821"/>
    <w:rsid w:val="00330AC4"/>
    <w:rsid w:val="00337A6C"/>
    <w:rsid w:val="00344B93"/>
    <w:rsid w:val="003669EE"/>
    <w:rsid w:val="0037432D"/>
    <w:rsid w:val="003A1510"/>
    <w:rsid w:val="003A1F47"/>
    <w:rsid w:val="003A6678"/>
    <w:rsid w:val="003D0CFC"/>
    <w:rsid w:val="003D2CFD"/>
    <w:rsid w:val="0040345C"/>
    <w:rsid w:val="00423B9C"/>
    <w:rsid w:val="00440B4D"/>
    <w:rsid w:val="0045294E"/>
    <w:rsid w:val="00476877"/>
    <w:rsid w:val="004769B2"/>
    <w:rsid w:val="00501342"/>
    <w:rsid w:val="00507A14"/>
    <w:rsid w:val="0054225F"/>
    <w:rsid w:val="005623FC"/>
    <w:rsid w:val="00562883"/>
    <w:rsid w:val="005954F7"/>
    <w:rsid w:val="00597800"/>
    <w:rsid w:val="005A45A8"/>
    <w:rsid w:val="005B6BDE"/>
    <w:rsid w:val="005C1C23"/>
    <w:rsid w:val="005C4892"/>
    <w:rsid w:val="005C4CA4"/>
    <w:rsid w:val="005C4E53"/>
    <w:rsid w:val="005E1978"/>
    <w:rsid w:val="00617F8D"/>
    <w:rsid w:val="00622123"/>
    <w:rsid w:val="006265E7"/>
    <w:rsid w:val="00632341"/>
    <w:rsid w:val="0063481F"/>
    <w:rsid w:val="006474A4"/>
    <w:rsid w:val="006729E0"/>
    <w:rsid w:val="00686191"/>
    <w:rsid w:val="006A5549"/>
    <w:rsid w:val="006C11E2"/>
    <w:rsid w:val="00732BB1"/>
    <w:rsid w:val="007421BF"/>
    <w:rsid w:val="007747ED"/>
    <w:rsid w:val="0078093C"/>
    <w:rsid w:val="00792967"/>
    <w:rsid w:val="0079611D"/>
    <w:rsid w:val="007C7714"/>
    <w:rsid w:val="007D313B"/>
    <w:rsid w:val="007F2B44"/>
    <w:rsid w:val="00842F61"/>
    <w:rsid w:val="00861E8A"/>
    <w:rsid w:val="008A1898"/>
    <w:rsid w:val="008B2B31"/>
    <w:rsid w:val="008B705D"/>
    <w:rsid w:val="008E0BF6"/>
    <w:rsid w:val="008E1652"/>
    <w:rsid w:val="008E5DE9"/>
    <w:rsid w:val="00914F12"/>
    <w:rsid w:val="00921D1A"/>
    <w:rsid w:val="0093118F"/>
    <w:rsid w:val="00952B97"/>
    <w:rsid w:val="00972899"/>
    <w:rsid w:val="009A0356"/>
    <w:rsid w:val="009A65D5"/>
    <w:rsid w:val="00A15C39"/>
    <w:rsid w:val="00A57D94"/>
    <w:rsid w:val="00AA05E5"/>
    <w:rsid w:val="00AA294F"/>
    <w:rsid w:val="00AB2A1E"/>
    <w:rsid w:val="00AC1C8B"/>
    <w:rsid w:val="00AD2268"/>
    <w:rsid w:val="00AE105B"/>
    <w:rsid w:val="00B03426"/>
    <w:rsid w:val="00B56C67"/>
    <w:rsid w:val="00B60A95"/>
    <w:rsid w:val="00B77602"/>
    <w:rsid w:val="00BA01D2"/>
    <w:rsid w:val="00BA6162"/>
    <w:rsid w:val="00BA6953"/>
    <w:rsid w:val="00BB411F"/>
    <w:rsid w:val="00C04329"/>
    <w:rsid w:val="00C12ABE"/>
    <w:rsid w:val="00C150FD"/>
    <w:rsid w:val="00C17408"/>
    <w:rsid w:val="00C323FF"/>
    <w:rsid w:val="00C43CBB"/>
    <w:rsid w:val="00C46D8B"/>
    <w:rsid w:val="00C57C21"/>
    <w:rsid w:val="00C72BF2"/>
    <w:rsid w:val="00C7782A"/>
    <w:rsid w:val="00C95C3B"/>
    <w:rsid w:val="00CA2C7E"/>
    <w:rsid w:val="00CB65D8"/>
    <w:rsid w:val="00D450AC"/>
    <w:rsid w:val="00D53425"/>
    <w:rsid w:val="00D634C6"/>
    <w:rsid w:val="00D63EBE"/>
    <w:rsid w:val="00DA18E1"/>
    <w:rsid w:val="00DC6761"/>
    <w:rsid w:val="00E030B1"/>
    <w:rsid w:val="00E05606"/>
    <w:rsid w:val="00E138C8"/>
    <w:rsid w:val="00E161D8"/>
    <w:rsid w:val="00E24AFC"/>
    <w:rsid w:val="00E250E0"/>
    <w:rsid w:val="00E36FE7"/>
    <w:rsid w:val="00E51657"/>
    <w:rsid w:val="00E579BA"/>
    <w:rsid w:val="00E833B4"/>
    <w:rsid w:val="00E96BAF"/>
    <w:rsid w:val="00F264C0"/>
    <w:rsid w:val="00F36387"/>
    <w:rsid w:val="00F37F5F"/>
    <w:rsid w:val="00F55D7E"/>
    <w:rsid w:val="00F722E2"/>
    <w:rsid w:val="00FB38D0"/>
    <w:rsid w:val="00FC22E7"/>
    <w:rsid w:val="00FC7957"/>
    <w:rsid w:val="00FD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187A4C-C9AC-40B1-B336-01D8A5A0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97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61D8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E161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61D8"/>
    <w:pPr>
      <w:jc w:val="center"/>
    </w:pPr>
    <w:rPr>
      <w:b/>
      <w:bCs/>
      <w:sz w:val="32"/>
      <w:szCs w:val="32"/>
    </w:rPr>
  </w:style>
  <w:style w:type="paragraph" w:styleId="a4">
    <w:name w:val="header"/>
    <w:basedOn w:val="a"/>
    <w:link w:val="a5"/>
    <w:uiPriority w:val="99"/>
    <w:rsid w:val="00E161D8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161D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E161D8"/>
  </w:style>
  <w:style w:type="paragraph" w:styleId="a7">
    <w:name w:val="Balloon Text"/>
    <w:basedOn w:val="a"/>
    <w:link w:val="a8"/>
    <w:uiPriority w:val="99"/>
    <w:semiHidden/>
    <w:rsid w:val="00E16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61D8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locked/>
    <w:rsid w:val="00DC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45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50AC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3669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7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97800"/>
  </w:style>
  <w:style w:type="paragraph" w:styleId="ad">
    <w:name w:val="Body Text Indent"/>
    <w:basedOn w:val="a"/>
    <w:link w:val="ae"/>
    <w:uiPriority w:val="99"/>
    <w:unhideWhenUsed/>
    <w:rsid w:val="00597800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97800"/>
    <w:rPr>
      <w:rFonts w:ascii="Times New Roman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5978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780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5978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2">
    <w:name w:val="Основной текст1"/>
    <w:basedOn w:val="a"/>
    <w:rsid w:val="00597800"/>
    <w:pPr>
      <w:jc w:val="both"/>
    </w:pPr>
    <w:rPr>
      <w:sz w:val="20"/>
      <w:szCs w:val="20"/>
    </w:rPr>
  </w:style>
  <w:style w:type="table" w:customStyle="1" w:styleId="13">
    <w:name w:val="Сетка таблицы1"/>
    <w:basedOn w:val="a1"/>
    <w:next w:val="a9"/>
    <w:uiPriority w:val="59"/>
    <w:rsid w:val="00597800"/>
    <w:rPr>
      <w:rFonts w:asci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0D49B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D49B8"/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unhideWhenUsed/>
    <w:rsid w:val="00507A14"/>
    <w:rPr>
      <w:color w:val="0000FF"/>
      <w:u w:val="single"/>
    </w:rPr>
  </w:style>
  <w:style w:type="character" w:customStyle="1" w:styleId="af3">
    <w:name w:val="Цветовое выделение"/>
    <w:uiPriority w:val="99"/>
    <w:rsid w:val="00C95C3B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C95C3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5">
    <w:name w:val="Таблицы (моноширинный)"/>
    <w:basedOn w:val="a"/>
    <w:next w:val="a"/>
    <w:uiPriority w:val="99"/>
    <w:rsid w:val="00C95C3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6">
    <w:name w:val="Прижатый влево"/>
    <w:basedOn w:val="a"/>
    <w:next w:val="a"/>
    <w:uiPriority w:val="99"/>
    <w:rsid w:val="00C95C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7">
    <w:name w:val="Plain Text"/>
    <w:aliases w:val="Знак"/>
    <w:basedOn w:val="a"/>
    <w:link w:val="af8"/>
    <w:uiPriority w:val="99"/>
    <w:rsid w:val="008B2B31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Знак Знак"/>
    <w:basedOn w:val="a0"/>
    <w:link w:val="af7"/>
    <w:uiPriority w:val="99"/>
    <w:rsid w:val="008B2B3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</cp:lastModifiedBy>
  <cp:revision>6</cp:revision>
  <cp:lastPrinted>2022-04-08T07:47:00Z</cp:lastPrinted>
  <dcterms:created xsi:type="dcterms:W3CDTF">2023-04-03T04:50:00Z</dcterms:created>
  <dcterms:modified xsi:type="dcterms:W3CDTF">2023-04-03T08:28:00Z</dcterms:modified>
</cp:coreProperties>
</file>